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371</w:t>
      </w:r>
    </w:p>
    <w:p>
      <w:r>
        <w:t>Bundesgericht (BGE), 1983-12-22, DE</w:t>
      </w:r>
    </w:p>
    <w:p>
      <w:r>
        <w:rPr>
          <w:b/>
        </w:rPr>
        <w:t xml:space="preserve">Quelle: </w:t>
      </w:r>
      <w:r>
        <w:t>https://mcp.opencaselaw.ch/entscheid/bge_109 II 371</w:t>
      </w:r>
    </w:p>
    <w:p>
      <w:r>
        <w:t>FR: ATF 109 II 371</w:t>
      </w:r>
    </w:p>
    <w:p>
      <w:r>
        <w:t>IT: DTF 109 II 371</w:t>
      </w:r>
    </w:p>
    <w:p>
      <w:pPr>
        <w:pStyle w:val="Heading2"/>
      </w:pPr>
      <w:r>
        <w:t>Regeste</w:t>
      </w:r>
    </w:p>
    <w:p>
      <w:r>
        <w:t>Regeste Art. 156 Abs. 2 und 277 Abs. 2 ZGB: Unterhaltsbeiträge für Kinder über deren Mündigkeit hinaus. Solche Beiträge kann der Inhaber der elterlichen Gewalt in einem Scheidungsprozess nicht durchsetzen.</w:t>
      </w:r>
    </w:p>
    <w:p>
      <w:pPr>
        <w:pStyle w:val="Heading2"/>
      </w:pPr>
      <w:r>
        <w:t>Erwägungen</w:t>
      </w:r>
    </w:p>
    <w:p>
      <w:r>
        <w:rPr>
          <w:b/>
        </w:rPr>
        <w:t>E. 4</w:t>
      </w:r>
    </w:p>
    <w:p>
      <w:r>
        <w:t>Beide kantonalen Instanzen haben den Beklagten verpflichtet, an den Unterhalt der beiden Töchter je Fr. 800.-- pro Monat zu bezahlen. Die Alimente für die Tochter Eliane sind nicht angefochten. Hingegen verwahrt sich der Beklagte dagegen, dass die Vorinstanz ihn in diesem Verfahren verpflichtet hat, über die Mündigkeit der 1963 geborenen, inzwischen bereits volljährig gewordenen Tochter Daniela hinaus an die Klägerin auch Unterhaltsbeiträge für diese zu bezahlen. Er ist der Auffassung, der angefochtene Entscheid verletze Art. 156 Abs. 2 ZGB . Diese Auffassung ist zutreffend. Nach Art. 156 Abs. 2 ZGB wird der Beitrag, den der nicht obhutsberechtigte Elternteil an die Kosten des Unterhalts seiner Kinder zu leisten hat, nach den Bestimmungen über die Wirkungen des Kindesverhältnisses geregelt. Damit wird auf die Art. 276 ff. ZGB und insbesondere auf Art. 285 ZGB verwiesen. Gemäss Art. 277 Abs. 2 haben die Eltern, soweit es ihnen nach den gesamten Umständen zugemutet werden darf, auch für den Unterhalt eines sich in der Ausbildung befindlichen mündigen Kindes aufzukommen, und zwar bis dessen Ausbildung ordentlicherweise abgeschlossen werden kann. Gläubiger dieser Geldleistungen ist das Kind, aber die Leistungen haben bis zu dessen Mündigkeit an den Inhaber der elterlichen Gewalt als gesetzlichen Vertreter zu erfolgen, der sie auch in eigenem Namen geltend machen kann. Dieser Grundsatz galt bereits unter der Herrschaft des alten Rechts ( BGE 69 II 68 , BGE 90 II 355 , BGE 98 IV 207 E. 1, BGE 102 Ia 102 E. 4; HINDERLING, Das schweizerische Ehescheidungsrecht, 3. Aufl., S. 162/163) und ist im neuen Kindesrecht, das ganz allgemein die Stellung des Kindes verstärkt, ausdrücklich in Art. 289 Abs. 1 ZGB festgehalten worden. Das bedeutet, dass der obhutsberechtigte Elternteil im Scheidungsprozess, an welchem das Kind nicht als Partei teilnehmen kann, Kinderalimente in BGE 109 II 371 S. 373 eigenem Namen geltend machen kann, solange ihm die elterliche Gewalt über seine Kinder zusteht ( BGE 107 II 473 unten). Sobald aber Mündigkeit eintritt, entfällt diese Befugnis, und sie geht an den mündig Gewordenen über, der nunmehr selbst im Sinne des Art. 277 Abs. 2 ZGB tätig werden muss (HINDERLING, Zusatzband, S. 111, insbesondere auch Anmerkung 6; nach altem Recht: HEGNAUER, N. 74 zu Art. 272 aZGB; BGE 102 Ia 102 E. 4, BGE 107 II 474 ). Ausnahmen sind bisher nur zugelassen worden, wenn sich der pflichtige Elternteil in einer Ehescheidungs-Vereinbarung verpflichtet hat, über das 20. Altersjahr seiner Kinder hinaus an deren Unterhalt beizutragen ( BGE 102 Ia 102 /103; BGE 107 II 475 oben; HINDERLING, Zusatzband, a.a.O.). Das Kantonsgericht und die Klägerin stützen sich freilich unter anderem auf einen Entscheid des Bundesgerichts in BGE 104 II 296 . In diesem Entscheid, in dem es um Ansprüche des ausserehelichen Kindes ging, wurde ausgeführt, dass es sich empfehlen dürfte, im Urteilsdispositiv die Unterhaltsbeiträge auch für die Zeit nach Erreichen der Mündigkeit zu regeln, wenn ein Kind bei der Regelung seiner Unterhaltsbeiträge im Vaterschafts- oder Scheidungsprozess kurz vor der Erreichung seiner Mündigkeit stehe, es sich dabei in einer Ausbildung befinde, die aller Voraussicht nach über diesen Zeitpunkt hinaus dauern werde, und auch die Verhältnisse der Eltern hinreichend bekannt seien. Diese vor allem auf Gründen der Zweckmässigkeit und dem Gedanken der Prozessökonomie beruhende Äusserung, die im Widerspruch zu der in BGE 102 Ia 102 E. 4 vertretenen, noch auf altem Recht basierenden Auffassung steht, wurde in der Literatur teils als nicht unbedenklich empfunden oder abgelehnt (HINDERLING, Zusatzband, a.a.O.; BÜHLER/SPÜHLER, N. 244/245 zu Art. 156 ZGB ), zum Teil aber auch unterstützt (HEGNAUER, Grundriss des Kindesrechts, 1983, S. 126; RUTH REUSSER, Unterhaltspflicht, Unterstützungspflicht, Kindesvermögen, in: Das neue Kindesrecht, Berner Tage für die juristische Praxis 1977, S. 68). Sie beruht auf einer extensiven Auslegung der neuen Ordnung des Kindesrechts, die nicht ganz unbedenklich ist. Art. 156 Abs. 2 ZGB verweist wohl ganz allgemein auf die Art. 276 ff. ZGB . Art. 279 ZGB , der das Klagerecht und die Zuständigkeit in bezug auf den Unterhaltsanspruch der Kinder gegenüber ihren Eltern regelt, behält seinerseits in Absatz 3 die Kompetenz des Richters nach den Bestimmungen über die Ehescheidung vor. Das bedeutet aber nicht, dass sich die Befugnis des Scheidungsrichters in jedem Fall auf Art. 277 Abs. 2 ZGB BGE 109 II 371 S. 374 erstreckt. Der gegenseitige Verweis beziehungsweise Vorbehalt kann höchstens bedeuten, dass auch der Scheidungsrichter grundsätzlich die Schranke der Mündigkeit zu beachten hat, dass diese aber nicht in jedem Fall einer Regelung der Unterhaltspflicht entgegensteht, sondern ihm ausnahmsweise unter bestimmten Voraussetzungen die Befugnis bleibt, auf die gesamte Dauer der noch verbleibenden Unterhaltspflicht die erforderlichen Anordnungen zu treffen. Solche Voraussetzungen lägen beispielsweise - wie in BGE 104 II 296 ausgeführt - dann vor, wenn das unterhaltsberechtigte Kind im Zeitpunkt des Scheidungsurteils kurz vor der Mündigkeit steht oder schon während des Scheidungsverfahrens mündig geworden ist, bereits in Ausbildung steht und deren Dauer, die klarerweise über das Scheidungsverfahren hinaus gehen wird, bestimmbar ist. Das träfe z.B. zu, wenn das Kind im letzten Jahr vor der Maturität oder dem Lehrabschluss stünde. Bei derart klaren Verhältnissen wäre es wenig verständlich und läge es nicht im Interesse des Kindes und des Pflichtigen, wenn das Kind gezwungen würde, unter Umständen bereits neben dem Scheidungsprozess seiner Eltern oder kurz darnach seine Unterhaltsansprüche gegenüber dem pflichtigen Elternteil gerichtlich für eine relativ kurze Zeitdauer von einigen Monaten durchsetzen zu müssen. Ob indessen eine solche, an sich denkbare Ausnahme zugelassen werden soll und kann, braucht im vorliegenden Fall nicht abschliessend entschieden zu werden, denn die Voraussetzungen für eine solche Ausnahmeregelung liegen hier gerade nicht vor. Das Kantonsgericht hat festgestellt, dass Daniela die letzte Klasse des Gymnasiums besuche und Ende Juni 1983, also im Monat, in dem sie volljährig wird, das Maturitätszeugnis erwerben werde. Diese Stufe der Ausbildung wird daher noch während der Unmündigkeit abgeschlossen. Eine neue, definitiv zur wirtschaftlichen Selbständigkeit führende Ausbildung wurde noch nicht begonnen, ja deren Art und Dauer steht nach dem angefochtenen Urteil noch nicht einmal fest. Wohl werde Daniela aller Wahrscheinlichkeit nach ein Hochschulstudium im medizinischen Bereich aufnehmen bzw. eine andere mehrjährige Ausbildung ähnlicher Art oder auf sozialmedizinisch-pflegerischem Gebiet beginnen. Das ist jedoch zu unsicher, um im Scheidungsverfahren über die weitere Unterhaltspflicht des Vaters gegenüber der mündig gewordenen Tochter entscheiden zu können. In Fällen der vorliegenden Art muss dem unterhaltsberechtigten, mündig Gewordenen vorbehalten bleiben, in einem BGE 109 II 371 S. 375 Verfahren, in dem er selbst Partei ist und in welchem er die eigenen, unter Umständen höheren Bedürfnisse geltend machen kann, seine Ansprüche durchzusetzen. Diese Folge des Kindesrechts entspricht nicht nur der gestärkten Stellung des Kindes, sondern auch der grösseren Eigenständigkeit, die den jungen Menschen heute zuerkannt wird. Wenn auch die Überlegungen der Vorinstanz vor allem im Hinblick auf das gespannte Verhältnis zwischen Vater und Tochter viel für sich haben mögen, ist nach dem Gesagten doch festzustellen, dass das Kantonsgericht Bundesrecht verletzt hat, wenn es der Klägerin für die inzwischen mündig gewordene, aber noch unterhaltsbedürftige Tochter bis zum 25. Altersjahr einen Unterhaltsbeitrag von monatlich Fr. 800.--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